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405B5" w14:textId="77777777" w:rsidR="006A0C2B" w:rsidRPr="006A0C2B" w:rsidRDefault="006A0C2B" w:rsidP="006A0C2B">
      <w:p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Detail of content introduced at Year 4</w:t>
      </w:r>
    </w:p>
    <w:p w14:paraId="331BAD5F" w14:textId="77777777" w:rsidR="006A0C2B" w:rsidRPr="006A0C2B" w:rsidRDefault="006A0C2B" w:rsidP="006A0C2B">
      <w:p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b/>
          <w:bCs/>
          <w:color w:val="444444"/>
          <w:sz w:val="27"/>
          <w:szCs w:val="27"/>
          <w:u w:val="single"/>
          <w:lang w:eastAsia="en-GB"/>
        </w:rPr>
        <w:t>Word</w:t>
      </w:r>
    </w:p>
    <w:p w14:paraId="47D6ED54" w14:textId="77777777" w:rsidR="006A0C2B" w:rsidRPr="006A0C2B" w:rsidRDefault="006A0C2B" w:rsidP="006A0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Formation of </w:t>
      </w:r>
      <w:r w:rsidRPr="006A0C2B">
        <w:rPr>
          <w:rFonts w:ascii="Century Gothic" w:eastAsia="Times New Roman" w:hAnsi="Century Gothic" w:cs="Times New Roman"/>
          <w:b/>
          <w:bCs/>
          <w:color w:val="444444"/>
          <w:sz w:val="24"/>
          <w:szCs w:val="24"/>
          <w:lang w:eastAsia="en-GB"/>
        </w:rPr>
        <w:t>nouns</w:t>
      </w: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 using a range of </w:t>
      </w:r>
      <w:r w:rsidRPr="006A0C2B">
        <w:rPr>
          <w:rFonts w:ascii="Century Gothic" w:eastAsia="Times New Roman" w:hAnsi="Century Gothic" w:cs="Times New Roman"/>
          <w:b/>
          <w:bCs/>
          <w:color w:val="444444"/>
          <w:sz w:val="24"/>
          <w:szCs w:val="24"/>
          <w:lang w:eastAsia="en-GB"/>
        </w:rPr>
        <w:t>prefixes</w:t>
      </w: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 (</w:t>
      </w:r>
      <w:proofErr w:type="spellStart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eg.</w:t>
      </w:r>
      <w:proofErr w:type="spellEnd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 xml:space="preserve"> super-, anti-, auto-)</w:t>
      </w:r>
    </w:p>
    <w:p w14:paraId="1B5B84DD" w14:textId="77777777" w:rsidR="006A0C2B" w:rsidRPr="006A0C2B" w:rsidRDefault="006A0C2B" w:rsidP="006A0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Use of the </w:t>
      </w:r>
      <w:r w:rsidRPr="006A0C2B">
        <w:rPr>
          <w:rFonts w:ascii="Century Gothic" w:eastAsia="Times New Roman" w:hAnsi="Century Gothic" w:cs="Times New Roman"/>
          <w:b/>
          <w:bCs/>
          <w:color w:val="444444"/>
          <w:sz w:val="24"/>
          <w:szCs w:val="24"/>
          <w:lang w:eastAsia="en-GB"/>
        </w:rPr>
        <w:t>forms</w:t>
      </w: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 </w:t>
      </w:r>
      <w:proofErr w:type="gramStart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a or</w:t>
      </w:r>
      <w:proofErr w:type="gramEnd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 xml:space="preserve"> an according to whether the next word begins with a </w:t>
      </w:r>
      <w:r w:rsidRPr="006A0C2B">
        <w:rPr>
          <w:rFonts w:ascii="Century Gothic" w:eastAsia="Times New Roman" w:hAnsi="Century Gothic" w:cs="Times New Roman"/>
          <w:b/>
          <w:bCs/>
          <w:color w:val="444444"/>
          <w:sz w:val="24"/>
          <w:szCs w:val="24"/>
          <w:lang w:eastAsia="en-GB"/>
        </w:rPr>
        <w:t>consonant</w:t>
      </w: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 or a </w:t>
      </w:r>
      <w:r w:rsidRPr="006A0C2B">
        <w:rPr>
          <w:rFonts w:ascii="Century Gothic" w:eastAsia="Times New Roman" w:hAnsi="Century Gothic" w:cs="Times New Roman"/>
          <w:b/>
          <w:bCs/>
          <w:color w:val="444444"/>
          <w:sz w:val="24"/>
          <w:szCs w:val="24"/>
          <w:lang w:eastAsia="en-GB"/>
        </w:rPr>
        <w:t>vowel </w:t>
      </w: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(</w:t>
      </w:r>
      <w:proofErr w:type="spellStart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eg.</w:t>
      </w:r>
      <w:proofErr w:type="spellEnd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 xml:space="preserve"> a rock, an open box)</w:t>
      </w:r>
    </w:p>
    <w:p w14:paraId="2104C17E" w14:textId="77777777" w:rsidR="006A0C2B" w:rsidRPr="006A0C2B" w:rsidRDefault="006A0C2B" w:rsidP="006A0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b/>
          <w:bCs/>
          <w:color w:val="444444"/>
          <w:sz w:val="24"/>
          <w:szCs w:val="24"/>
          <w:lang w:eastAsia="en-GB"/>
        </w:rPr>
        <w:t>Word families </w:t>
      </w: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based on common </w:t>
      </w:r>
      <w:r w:rsidRPr="006A0C2B">
        <w:rPr>
          <w:rFonts w:ascii="Century Gothic" w:eastAsia="Times New Roman" w:hAnsi="Century Gothic" w:cs="Times New Roman"/>
          <w:b/>
          <w:bCs/>
          <w:color w:val="444444"/>
          <w:sz w:val="24"/>
          <w:szCs w:val="24"/>
          <w:lang w:eastAsia="en-GB"/>
        </w:rPr>
        <w:t>words</w:t>
      </w: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, showing how words are related in form and meaning (</w:t>
      </w:r>
      <w:proofErr w:type="spellStart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eg.</w:t>
      </w:r>
      <w:proofErr w:type="spellEnd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 xml:space="preserve"> solve, solution, solver, dissolve, insoluble)</w:t>
      </w:r>
    </w:p>
    <w:p w14:paraId="4E7FC2E2" w14:textId="77777777" w:rsidR="006A0C2B" w:rsidRPr="006A0C2B" w:rsidRDefault="006A0C2B" w:rsidP="006A0C2B">
      <w:p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b/>
          <w:bCs/>
          <w:color w:val="444444"/>
          <w:sz w:val="27"/>
          <w:szCs w:val="27"/>
          <w:u w:val="single"/>
          <w:lang w:eastAsia="en-GB"/>
        </w:rPr>
        <w:t>Sentence</w:t>
      </w:r>
    </w:p>
    <w:p w14:paraId="16643637" w14:textId="77777777" w:rsidR="006A0C2B" w:rsidRPr="006A0C2B" w:rsidRDefault="006A0C2B" w:rsidP="006A0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Expressing time, place and cause using </w:t>
      </w:r>
      <w:r w:rsidRPr="006A0C2B">
        <w:rPr>
          <w:rFonts w:ascii="Century Gothic" w:eastAsia="Times New Roman" w:hAnsi="Century Gothic" w:cs="Times New Roman"/>
          <w:b/>
          <w:bCs/>
          <w:color w:val="444444"/>
          <w:sz w:val="24"/>
          <w:szCs w:val="24"/>
          <w:lang w:eastAsia="en-GB"/>
        </w:rPr>
        <w:t>conjunctions</w:t>
      </w: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 (</w:t>
      </w:r>
      <w:proofErr w:type="spellStart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eg.</w:t>
      </w:r>
      <w:proofErr w:type="spellEnd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 xml:space="preserve"> when, before, after, while, so, because), </w:t>
      </w:r>
      <w:r w:rsidRPr="006A0C2B">
        <w:rPr>
          <w:rFonts w:ascii="Century Gothic" w:eastAsia="Times New Roman" w:hAnsi="Century Gothic" w:cs="Times New Roman"/>
          <w:b/>
          <w:bCs/>
          <w:color w:val="444444"/>
          <w:sz w:val="24"/>
          <w:szCs w:val="24"/>
          <w:lang w:eastAsia="en-GB"/>
        </w:rPr>
        <w:t>adverbs </w:t>
      </w: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(</w:t>
      </w:r>
      <w:proofErr w:type="spellStart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eg</w:t>
      </w:r>
      <w:proofErr w:type="spellEnd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, then, next, soon, therefore), or </w:t>
      </w:r>
      <w:r w:rsidRPr="006A0C2B">
        <w:rPr>
          <w:rFonts w:ascii="Century Gothic" w:eastAsia="Times New Roman" w:hAnsi="Century Gothic" w:cs="Times New Roman"/>
          <w:b/>
          <w:bCs/>
          <w:color w:val="444444"/>
          <w:sz w:val="24"/>
          <w:szCs w:val="24"/>
          <w:lang w:eastAsia="en-GB"/>
        </w:rPr>
        <w:t>prepositions</w:t>
      </w: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 (</w:t>
      </w:r>
      <w:proofErr w:type="spellStart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eg.</w:t>
      </w:r>
      <w:proofErr w:type="spellEnd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 xml:space="preserve"> before, after, during, in, because of)</w:t>
      </w:r>
    </w:p>
    <w:p w14:paraId="1D8094DA" w14:textId="77777777" w:rsidR="006A0C2B" w:rsidRPr="006A0C2B" w:rsidRDefault="006A0C2B" w:rsidP="006A0C2B">
      <w:p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b/>
          <w:bCs/>
          <w:color w:val="444444"/>
          <w:sz w:val="27"/>
          <w:szCs w:val="27"/>
          <w:u w:val="single"/>
          <w:lang w:eastAsia="en-GB"/>
        </w:rPr>
        <w:t>Text</w:t>
      </w:r>
    </w:p>
    <w:p w14:paraId="68DB43DD" w14:textId="77777777" w:rsidR="006A0C2B" w:rsidRPr="006A0C2B" w:rsidRDefault="006A0C2B" w:rsidP="006A0C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 xml:space="preserve">Introduction to paragraphs </w:t>
      </w:r>
      <w:proofErr w:type="gramStart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as a way to</w:t>
      </w:r>
      <w:proofErr w:type="gramEnd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 xml:space="preserve"> group related material</w:t>
      </w:r>
    </w:p>
    <w:p w14:paraId="3EC758DE" w14:textId="77777777" w:rsidR="006A0C2B" w:rsidRPr="006A0C2B" w:rsidRDefault="006A0C2B" w:rsidP="006A0C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Headings and sub-headings to aid presentation</w:t>
      </w:r>
    </w:p>
    <w:p w14:paraId="00A8FF7D" w14:textId="77777777" w:rsidR="006A0C2B" w:rsidRPr="006A0C2B" w:rsidRDefault="006A0C2B" w:rsidP="006A0C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Use of the </w:t>
      </w:r>
      <w:r w:rsidRPr="006A0C2B">
        <w:rPr>
          <w:rFonts w:ascii="Century Gothic" w:eastAsia="Times New Roman" w:hAnsi="Century Gothic" w:cs="Times New Roman"/>
          <w:b/>
          <w:bCs/>
          <w:color w:val="444444"/>
          <w:sz w:val="24"/>
          <w:szCs w:val="24"/>
          <w:lang w:eastAsia="en-GB"/>
        </w:rPr>
        <w:t>present perfect </w:t>
      </w: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form of </w:t>
      </w:r>
      <w:r w:rsidRPr="006A0C2B">
        <w:rPr>
          <w:rFonts w:ascii="Century Gothic" w:eastAsia="Times New Roman" w:hAnsi="Century Gothic" w:cs="Times New Roman"/>
          <w:b/>
          <w:bCs/>
          <w:color w:val="444444"/>
          <w:sz w:val="24"/>
          <w:szCs w:val="24"/>
          <w:lang w:eastAsia="en-GB"/>
        </w:rPr>
        <w:t>verbs</w:t>
      </w: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 instead of the simple past (</w:t>
      </w:r>
      <w:proofErr w:type="spellStart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eg.</w:t>
      </w:r>
      <w:proofErr w:type="spellEnd"/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 xml:space="preserve"> He has gone out to play contrasted with He went out to play)</w:t>
      </w:r>
    </w:p>
    <w:p w14:paraId="6E5E12C8" w14:textId="77777777" w:rsidR="006A0C2B" w:rsidRPr="006A0C2B" w:rsidRDefault="006A0C2B" w:rsidP="006A0C2B">
      <w:p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b/>
          <w:bCs/>
          <w:color w:val="444444"/>
          <w:sz w:val="24"/>
          <w:szCs w:val="24"/>
          <w:u w:val="single"/>
          <w:lang w:eastAsia="en-GB"/>
        </w:rPr>
        <w:t>Punctuation</w:t>
      </w:r>
    </w:p>
    <w:p w14:paraId="2A038196" w14:textId="77777777" w:rsidR="006A0C2B" w:rsidRPr="006A0C2B" w:rsidRDefault="006A0C2B" w:rsidP="006A0C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Introduction to inverted commas to </w:t>
      </w:r>
      <w:r w:rsidRPr="006A0C2B">
        <w:rPr>
          <w:rFonts w:ascii="Century Gothic" w:eastAsia="Times New Roman" w:hAnsi="Century Gothic" w:cs="Times New Roman"/>
          <w:b/>
          <w:bCs/>
          <w:color w:val="444444"/>
          <w:sz w:val="24"/>
          <w:szCs w:val="24"/>
          <w:lang w:eastAsia="en-GB"/>
        </w:rPr>
        <w:t>punctuate </w:t>
      </w: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direct speech</w:t>
      </w:r>
    </w:p>
    <w:p w14:paraId="638F3154" w14:textId="77777777" w:rsidR="006A0C2B" w:rsidRPr="006A0C2B" w:rsidRDefault="006A0C2B" w:rsidP="006A0C2B">
      <w:p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b/>
          <w:bCs/>
          <w:color w:val="444444"/>
          <w:sz w:val="24"/>
          <w:szCs w:val="24"/>
          <w:u w:val="single"/>
          <w:lang w:eastAsia="en-GB"/>
        </w:rPr>
        <w:t>Terminology</w:t>
      </w:r>
    </w:p>
    <w:p w14:paraId="07645B8E" w14:textId="77777777" w:rsidR="006A0C2B" w:rsidRPr="006A0C2B" w:rsidRDefault="006A0C2B" w:rsidP="006A0C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preposition, conjunction</w:t>
      </w:r>
    </w:p>
    <w:p w14:paraId="3019099D" w14:textId="77777777" w:rsidR="006A0C2B" w:rsidRPr="006A0C2B" w:rsidRDefault="006A0C2B" w:rsidP="006A0C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word family, prefix</w:t>
      </w:r>
    </w:p>
    <w:p w14:paraId="4B929A43" w14:textId="77777777" w:rsidR="006A0C2B" w:rsidRPr="006A0C2B" w:rsidRDefault="006A0C2B" w:rsidP="006A0C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clause, subordinate clause</w:t>
      </w:r>
    </w:p>
    <w:p w14:paraId="5234C817" w14:textId="77777777" w:rsidR="006A0C2B" w:rsidRPr="006A0C2B" w:rsidRDefault="006A0C2B" w:rsidP="006A0C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direct speech</w:t>
      </w:r>
    </w:p>
    <w:p w14:paraId="4DED0CB2" w14:textId="77777777" w:rsidR="006A0C2B" w:rsidRPr="006A0C2B" w:rsidRDefault="006A0C2B" w:rsidP="006A0C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consonant, consonant letter vowel, vowel letter</w:t>
      </w:r>
    </w:p>
    <w:p w14:paraId="1A0CE98D" w14:textId="77777777" w:rsidR="006A0C2B" w:rsidRPr="006A0C2B" w:rsidRDefault="006A0C2B" w:rsidP="006A0C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exiaRegular" w:eastAsia="Times New Roman" w:hAnsi="LexiaRegular" w:cs="Times New Roman"/>
          <w:color w:val="444444"/>
          <w:sz w:val="18"/>
          <w:szCs w:val="18"/>
          <w:lang w:eastAsia="en-GB"/>
        </w:rPr>
      </w:pPr>
      <w:r w:rsidRPr="006A0C2B">
        <w:rPr>
          <w:rFonts w:ascii="Century Gothic" w:eastAsia="Times New Roman" w:hAnsi="Century Gothic" w:cs="Times New Roman"/>
          <w:color w:val="444444"/>
          <w:sz w:val="24"/>
          <w:szCs w:val="24"/>
          <w:lang w:eastAsia="en-GB"/>
        </w:rPr>
        <w:t>inverted commas (or 'speech marks')</w:t>
      </w:r>
    </w:p>
    <w:p w14:paraId="22BC2E1A" w14:textId="77777777" w:rsidR="00F2514A" w:rsidRDefault="006A0C2B" w:rsidP="006A0C2B">
      <w:pPr>
        <w:pStyle w:val="NoSpacing"/>
      </w:pPr>
    </w:p>
    <w:sectPr w:rsidR="00F25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xiaRegular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55DFA"/>
    <w:multiLevelType w:val="multilevel"/>
    <w:tmpl w:val="31F8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72978"/>
    <w:multiLevelType w:val="multilevel"/>
    <w:tmpl w:val="17E2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1776A"/>
    <w:multiLevelType w:val="multilevel"/>
    <w:tmpl w:val="CA68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754C8"/>
    <w:multiLevelType w:val="multilevel"/>
    <w:tmpl w:val="9338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D5421"/>
    <w:multiLevelType w:val="multilevel"/>
    <w:tmpl w:val="698A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2B"/>
    <w:rsid w:val="006A0C2B"/>
    <w:rsid w:val="009B07D1"/>
    <w:rsid w:val="00E8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ACAE4"/>
  <w15:chartTrackingRefBased/>
  <w15:docId w15:val="{DEE3DE53-B379-43BC-935D-9D838CB3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C2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0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Nyman</dc:creator>
  <cp:keywords/>
  <dc:description/>
  <cp:lastModifiedBy>Karla Nyman</cp:lastModifiedBy>
  <cp:revision>1</cp:revision>
  <cp:lastPrinted>2020-11-16T16:25:00Z</cp:lastPrinted>
  <dcterms:created xsi:type="dcterms:W3CDTF">2020-11-16T16:15:00Z</dcterms:created>
  <dcterms:modified xsi:type="dcterms:W3CDTF">2020-11-16T16:26:00Z</dcterms:modified>
</cp:coreProperties>
</file>