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58" w:rsidRPr="00302FAF" w:rsidRDefault="00302FAF" w:rsidP="009A1D58">
      <w:pPr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</w:pPr>
      <w:r w:rsidRPr="00302FAF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  <w:t xml:space="preserve">Quality First Teaching and </w:t>
      </w:r>
      <w:proofErr w:type="gramStart"/>
      <w:r w:rsidRPr="00302FAF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  <w:t>The</w:t>
      </w:r>
      <w:proofErr w:type="gramEnd"/>
      <w:r w:rsidRPr="00302FAF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  <w:t xml:space="preserve"> Graduated </w:t>
      </w:r>
      <w:r w:rsidRPr="009A1D58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  <w:t>Response</w:t>
      </w:r>
      <w:r w:rsidR="009A1D58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32"/>
          <w:szCs w:val="24"/>
          <w:lang w:eastAsia="en-GB"/>
        </w:rPr>
        <w:t xml:space="preserve"> at Barton St Lawrence</w:t>
      </w:r>
    </w:p>
    <w:p w:rsidR="00302FAF" w:rsidRDefault="00302FAF" w:rsidP="00302FA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n-GB"/>
        </w:rPr>
        <w:t>Quality First Teaching</w:t>
      </w:r>
      <w:r w:rsidRPr="00302FA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en-GB"/>
        </w:rPr>
        <w:t> 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(QFT) means high quality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inclusive teaching together with continuous whole school processes for assessing, planning, implementing, tracking, monitoring and reviewing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progress of all children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302FAF" w:rsidRDefault="00302FAF" w:rsidP="00302FA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302FAF" w:rsidRPr="006C4E54" w:rsidRDefault="00302FAF" w:rsidP="00302FA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6C4E5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Understanding Quality First Teaching for All</w:t>
      </w:r>
    </w:p>
    <w:p w:rsidR="00302FAF" w:rsidRDefault="00302FAF" w:rsidP="00302FA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Into each unit or block of work, teachers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will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incorporate all 12 elem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ents of Quality First Teaching o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utlined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below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This is to ensure that the needs of </w:t>
      </w:r>
      <w:r w:rsid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all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learners</w:t>
      </w:r>
      <w:r w:rsid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including those with SEND,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gramStart"/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are </w:t>
      </w:r>
      <w:r w:rsid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met</w:t>
      </w:r>
      <w:proofErr w:type="gramEnd"/>
      <w:r w:rsid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through an inclusive approach to teaching and learning. </w:t>
      </w:r>
    </w:p>
    <w:p w:rsidR="00302FAF" w:rsidRDefault="006C4E54" w:rsidP="00302FA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A1D58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Communic</w:t>
      </w:r>
      <w:r w:rsidRPr="006C4E5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ation and Interaction with peers and adults: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Opportunities for pupils to talk to each other and adults about their learning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gramStart"/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 provided</w:t>
      </w:r>
      <w:proofErr w:type="gramEnd"/>
      <w:r w:rsidR="00EA70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regularly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This may be an area of the room set up for free play or exploration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or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practical activities that give scope for discussion and interaction, or speaking and listening activities around the objective</w:t>
      </w:r>
      <w:r w:rsidR="00EA70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proofErr w:type="gramEnd"/>
    </w:p>
    <w:p w:rsidR="006C4E54" w:rsidRDefault="006C4E54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6C4E5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Person centred collaboration: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Teachers will implement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individual requirem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ents stated in a Pupil Passport, an 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Individual Education Plan or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 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EHCP for SEND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This may be that the lesson has to be tailored to suit the best way to support those with SEND, as agreed with pupils and parents at the person-centred review </w:t>
      </w:r>
    </w:p>
    <w:p w:rsidR="006C4E54" w:rsidRPr="006C4E54" w:rsidRDefault="006C4E54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Prior Knowledge and Understanding Required for Access: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Teachers define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what needs to be </w:t>
      </w:r>
      <w:proofErr w:type="gramStart"/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known</w:t>
      </w:r>
      <w:proofErr w:type="gramEnd"/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understood prior to accessing the activities and learning the objective.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They build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opportunities for experiential knowledge that </w:t>
      </w:r>
      <w:proofErr w:type="gramStart"/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can be built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up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</w:t>
      </w:r>
      <w:proofErr w:type="gramEnd"/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 w:rsidR="009A1D58"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Teachers understand how the knowledge and use of 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high quality tools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apparatus by children </w:t>
      </w:r>
      <w:r w:rsidRPr="006C4E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can often compensate for a lack of knowledge of prior curriculum objec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tives, e.g. Base 10 equipment, Numicon.</w:t>
      </w:r>
    </w:p>
    <w:p w:rsidR="006C4E54" w:rsidRPr="006C4E54" w:rsidRDefault="006C4E54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6C4E54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Key Words and Vocabulary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: 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Focus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gramStart"/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is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put</w:t>
      </w:r>
      <w:proofErr w:type="gramEnd"/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on key words that children will need to know to be able to access the lesson. Specific focus put upon ‘Tier 2’ words that 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are more complex than everyday words but 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can be trans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ferred into other subject areas and ‘Tier 3’ words that are subject specific. Activities </w:t>
      </w:r>
      <w:proofErr w:type="gramStart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 provided</w:t>
      </w:r>
      <w:proofErr w:type="gramEnd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help children engage with these words, use them and retain them.</w:t>
      </w:r>
      <w:r w:rsid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They are also displayed on a </w:t>
      </w:r>
      <w:proofErr w:type="gramStart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vocabulary working</w:t>
      </w:r>
      <w:proofErr w:type="gramEnd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wall.</w:t>
      </w:r>
    </w:p>
    <w:p w:rsidR="006C4E54" w:rsidRPr="004F50C3" w:rsidRDefault="004F50C3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Focus upon </w:t>
      </w:r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What Will be </w:t>
      </w:r>
      <w:proofErr w:type="gramStart"/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Taught</w:t>
      </w:r>
      <w:proofErr w:type="gramEnd"/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: </w:t>
      </w:r>
      <w:r w:rsidR="00EA7083" w:rsidRPr="00EA70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Teachers provide a highly focused lesson design with sharp objectives. They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focus on WHAT </w:t>
      </w:r>
      <w:proofErr w:type="gramStart"/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will be taught</w:t>
      </w:r>
      <w:proofErr w:type="gramEnd"/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HOW it will be taught rather than WHO will learn it. Lessons include a child friendly Learning Objective that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is always SMART (Specific, Measurable, Achievable, Relevant and Time-Bound). Teachers consider how to promote greater depth of thinking and understanding around the objective.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</w:p>
    <w:p w:rsidR="006C4E54" w:rsidRPr="004F50C3" w:rsidRDefault="009A1D58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Primary and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Recency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(</w:t>
      </w:r>
      <w:r w:rsidR="004F50C3"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Introductory and Plenary Learning):</w:t>
      </w:r>
      <w:r w:rsid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Proven </w:t>
      </w:r>
      <w:proofErr w:type="gramStart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be the</w:t>
      </w:r>
      <w:proofErr w:type="gramEnd"/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most effective, Introductions and Plenaries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strong learning experiences</w:t>
      </w:r>
      <w:r w:rsid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for all</w:t>
      </w:r>
      <w:r w:rsidR="004F50C3"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Plenaries </w:t>
      </w:r>
      <w:proofErr w:type="gramStart"/>
      <w:r w:rsid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can be used</w:t>
      </w:r>
      <w:proofErr w:type="gramEnd"/>
      <w:r w:rsid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as a place to assess against the Learning Objective.</w:t>
      </w:r>
    </w:p>
    <w:p w:rsidR="006C4E54" w:rsidRPr="004F50C3" w:rsidRDefault="004F50C3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Structured Discovery Learning: 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Highly structured activities </w:t>
      </w:r>
      <w:proofErr w:type="gramStart"/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 provided</w:t>
      </w:r>
      <w:proofErr w:type="gramEnd"/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which 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allow learners to explore the objective in a way that uses reasoning skills. Teachers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provide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activities that allow for processing of the objective rather than overloading working memory. Lessons allow time for thinking and </w:t>
      </w:r>
      <w:r w:rsidRPr="004F50C3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 xml:space="preserve">dialogue, trial and error plus self-evaluation.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This is expected to be carried out in a multi-sensory way (hearing, seeing, saying,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doing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). </w:t>
      </w:r>
    </w:p>
    <w:p w:rsidR="006C4E54" w:rsidRPr="004F50C3" w:rsidRDefault="004F50C3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Assessment </w:t>
      </w:r>
      <w:proofErr w:type="gramStart"/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For</w:t>
      </w:r>
      <w:proofErr w:type="gramEnd"/>
      <w:r w:rsidRPr="004F50C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Learning / Key Questioning: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Teachers use questions that open-up </w:t>
      </w:r>
      <w:r w:rsidR="00D213EB"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learning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rather than </w:t>
      </w:r>
      <w:r w:rsidR="00D213EB"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close it down. Questioning should allow pupils the ‘space’ to demonstrate understanding. This can be through time, practical resources, pictures, writing or other means.</w:t>
      </w:r>
      <w:r w:rsid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</w:p>
    <w:p w:rsidR="006C4E54" w:rsidRPr="00D213EB" w:rsidRDefault="00D213EB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Instructional Multi-Sensory Strategies for All: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Teachers will provide Instructional Learning activities that involve seeing, hearing, saying and doing in the same event. It may be highly repetitive for those children who need repetition and over-learning. </w:t>
      </w:r>
    </w:p>
    <w:p w:rsidR="006C4E54" w:rsidRPr="00D213EB" w:rsidRDefault="00D213EB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Technological Resource Aids / Reasonable Adjustments: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Teachers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(with the aid of the </w:t>
      </w:r>
      <w:proofErr w:type="spellStart"/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SENCo</w:t>
      </w:r>
      <w:proofErr w:type="spellEnd"/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consider which children may benefit from reasonable adjustments to allow full access to learning. These strategies may include the use </w:t>
      </w:r>
      <w:proofErr w:type="gramStart"/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of:</w:t>
      </w:r>
      <w:proofErr w:type="gramEnd"/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practical resources, video recordings, text-to-speech or speech-to-text, table prompts, visual cues, enlarged print, overlays, different pens, writing slants, laptops etc.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</w:p>
    <w:p w:rsidR="006C4E54" w:rsidRPr="00D213EB" w:rsidRDefault="00D213EB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Meta Cognition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(thinking about thinking and learning about learning)</w:t>
      </w:r>
      <w:r w:rsidRP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: </w:t>
      </w:r>
      <w:r w:rsidRPr="00D213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Teachers will draw up success criteria with the children and use these for self-evaluation. They will explore ways of learning processes and remembering with the children.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</w:p>
    <w:p w:rsidR="006C4E54" w:rsidRPr="00D213EB" w:rsidRDefault="00D213EB" w:rsidP="006C4E5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D213E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Feedback: </w:t>
      </w:r>
      <w:r w:rsid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Teachers will communicate</w:t>
      </w:r>
      <w:r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children what they are doing well at</w:t>
      </w:r>
      <w:r w:rsidR="009A1D58"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why and how they can develop their learning further.</w:t>
      </w:r>
      <w:r w:rsidR="009A1D58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 w:rsidR="009A1D58"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They will qualify all praise and relate it the success criteria.</w:t>
      </w:r>
    </w:p>
    <w:p w:rsidR="006C4E54" w:rsidRDefault="006C4E54" w:rsidP="006C4E54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6C4E54" w:rsidRPr="009A1D58" w:rsidRDefault="006C4E54" w:rsidP="009A1D5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 addition to these twelve strands</w:t>
      </w:r>
      <w:r w:rsidR="00D213EB"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 effective Quality First Teaching</w:t>
      </w:r>
      <w:r w:rsidRPr="009A1D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it is expected that:</w:t>
      </w:r>
    </w:p>
    <w:p w:rsidR="006C4E54" w:rsidRPr="006C4E54" w:rsidRDefault="006C4E54" w:rsidP="006C4E54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302FAF" w:rsidRPr="00302FAF" w:rsidRDefault="00302FAF" w:rsidP="00302FAF">
      <w:pPr>
        <w:numPr>
          <w:ilvl w:val="0"/>
          <w:numId w:val="1"/>
        </w:numPr>
        <w:spacing w:before="30" w:after="3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teacher has the highest possible expectations for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all children in the class</w:t>
      </w:r>
    </w:p>
    <w:p w:rsidR="00302FAF" w:rsidRPr="00302FAF" w:rsidRDefault="00302FAF" w:rsidP="00302FAF">
      <w:pPr>
        <w:numPr>
          <w:ilvl w:val="0"/>
          <w:numId w:val="1"/>
        </w:numPr>
        <w:spacing w:before="30" w:after="3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Lessons </w:t>
      </w:r>
      <w:proofErr w:type="gramStart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are appropriately differentiated</w:t>
      </w:r>
      <w:proofErr w:type="gramEnd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which means different ways of teaching are in place so that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children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can access the lesson and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are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fully involved in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learning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that takes place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Some examples of differentiation are: additional resources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provided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support learning, opportunities for paired work or small group work, different ways of presenting work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specific access to a range of technological devices</w:t>
      </w:r>
    </w:p>
    <w:p w:rsidR="00302FAF" w:rsidRPr="00302FAF" w:rsidRDefault="00302FAF" w:rsidP="00302FAF">
      <w:pPr>
        <w:numPr>
          <w:ilvl w:val="0"/>
          <w:numId w:val="1"/>
        </w:numPr>
        <w:spacing w:before="30" w:after="3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Specific strategies (suggested by the </w:t>
      </w:r>
      <w:proofErr w:type="spellStart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SENCo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or other professionals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)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may be put in place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support child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ren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learn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where needed</w:t>
      </w:r>
    </w:p>
    <w:p w:rsidR="00302FAF" w:rsidRDefault="00302FAF" w:rsidP="00302FAF">
      <w:pPr>
        <w:numPr>
          <w:ilvl w:val="0"/>
          <w:numId w:val="1"/>
        </w:numPr>
        <w:spacing w:before="30" w:after="3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On-going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frequent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assessment within the day-to-day framework of the classroom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takes place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identify any gap or gaps in understanding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learning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302FAF" w:rsidRPr="00302FAF" w:rsidRDefault="00302FAF" w:rsidP="00302FAF">
      <w:pPr>
        <w:spacing w:before="30" w:after="3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302FAF" w:rsidRPr="00302FAF" w:rsidRDefault="00302FAF" w:rsidP="00302FA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Pr="00302FA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en-GB"/>
        </w:rPr>
        <w:t> </w:t>
      </w:r>
      <w:r w:rsidRPr="00302FA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n-GB"/>
        </w:rPr>
        <w:t xml:space="preserve">Graduated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en-GB"/>
        </w:rPr>
        <w:t>Response</w:t>
      </w:r>
      <w:r w:rsidRPr="00302FA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en-GB"/>
        </w:rPr>
        <w:t> 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means that provision for a child with a SEND is a continuum between whole class QFT at the one end and highly personalised 1:1 teaching at the other.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All children have access to quality first teaching, but where a potential SEND has been identified, the approach to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child’s</w:t>
      </w:r>
      <w:proofErr w:type="gramEnd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teaching and learning becomes increasingly personalised as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understanding of need grows. Thus, support becomes more targeted as outlined in the flow diagram below: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Quality First Teaching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↓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>Continued QFT + additional teaching strategies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↓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Specific intervention programmes and/or targeted group work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(These may be ‘one-off’ or more long-term)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↓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Specified individual support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(1:1 work with the class teacher, member of the Support Staff, specialist teacher or the SENCO</w:t>
      </w:r>
      <w:r w:rsidR="00CA2E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usually within the class as part of the inclusive practice of Quality First Teaching</w:t>
      </w:r>
      <w:bookmarkStart w:id="0" w:name="_GoBack"/>
      <w:bookmarkEnd w:id="0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Within each section of this continuum, a cycle of assessing, planning, doing and reviewing is ongoing. This cycle can become more individualised if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child’s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needs become more complex. 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few children with complex SEND will move through the graduated approach towards more specified individual support. In reality, many children will have a mixture of support and, depending on the lesson, </w:t>
      </w:r>
      <w:proofErr w:type="gramStart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can be placed</w:t>
      </w:r>
      <w:proofErr w:type="gramEnd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any point on this continuum. Similarly, a child who has received a great deal of 1:1 support can move the other way on the continuum as they begin to need less 1:1 support and can manage their learning more independently in the classroom.</w:t>
      </w:r>
    </w:p>
    <w:p w:rsidR="00302FAF" w:rsidRPr="00302FAF" w:rsidRDefault="00302FAF" w:rsidP="00302FAF">
      <w:pPr>
        <w:spacing w:before="180" w:after="18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do not assume that a child who receives 1:1 support will always need 1:1 support. All provision is subject to regular review and parents/carers are invited and expected to contribute to this review process by attending meetings, talking to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class teacher and </w:t>
      </w:r>
      <w:proofErr w:type="spellStart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SENCo</w:t>
      </w:r>
      <w:proofErr w:type="spellEnd"/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ensuring school are kept informed of any changes to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child’s </w:t>
      </w:r>
      <w:r w:rsidRPr="00302F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needs.</w:t>
      </w:r>
    </w:p>
    <w:p w:rsidR="00E92F15" w:rsidRPr="00302FAF" w:rsidRDefault="00E92F15">
      <w:pPr>
        <w:rPr>
          <w:rFonts w:ascii="Arial" w:hAnsi="Arial" w:cs="Arial"/>
          <w:sz w:val="24"/>
          <w:szCs w:val="24"/>
        </w:rPr>
      </w:pPr>
    </w:p>
    <w:sectPr w:rsidR="00E92F15" w:rsidRPr="00302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2E33"/>
    <w:multiLevelType w:val="hybridMultilevel"/>
    <w:tmpl w:val="EC3EC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8E5"/>
    <w:multiLevelType w:val="multilevel"/>
    <w:tmpl w:val="B1D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AF"/>
    <w:rsid w:val="00302FAF"/>
    <w:rsid w:val="004F50C3"/>
    <w:rsid w:val="006C4E54"/>
    <w:rsid w:val="009A1D58"/>
    <w:rsid w:val="00CA2E31"/>
    <w:rsid w:val="00D213EB"/>
    <w:rsid w:val="00E92F15"/>
    <w:rsid w:val="00E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FED6"/>
  <w15:chartTrackingRefBased/>
  <w15:docId w15:val="{6E81E263-AE20-48B6-B4FA-E2A2EDA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Pilling</dc:creator>
  <cp:keywords/>
  <dc:description/>
  <cp:lastModifiedBy>Harriet Pilling</cp:lastModifiedBy>
  <cp:revision>3</cp:revision>
  <dcterms:created xsi:type="dcterms:W3CDTF">2022-03-05T18:42:00Z</dcterms:created>
  <dcterms:modified xsi:type="dcterms:W3CDTF">2022-03-05T19:50:00Z</dcterms:modified>
</cp:coreProperties>
</file>